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D35378" w:rsidTr="00503B5E">
        <w:tc>
          <w:tcPr>
            <w:tcW w:w="864" w:type="dxa"/>
          </w:tcPr>
          <w:p w:rsidR="00D35378" w:rsidRPr="00086AAA" w:rsidRDefault="003D0D94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-215900</wp:posOffset>
                      </wp:positionV>
                      <wp:extent cx="9401175" cy="676275"/>
                      <wp:effectExtent l="0" t="0" r="28575" b="2857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01175" cy="676275"/>
                              </a:xfrm>
                              <a:prstGeom prst="lef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7305" w:rsidRPr="00B14F92" w:rsidRDefault="00457305" w:rsidP="004573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14F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THE RESPONSE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13.3pt;margin-top:-17pt;width:740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" adj="777" fillcolor="#8aabd3 [2132]" strokecolor="#243f60 [1604]" strokeweight="2pt">
                      <v:fill color2="#d6e2f0 [756]" rotate="t" angle="90" colors="0 #9ab5e4;.5 #c2d1ed;1 #e1e8f5" focus="100%" type="gradient"/>
                      <v:path arrowok="t"/>
                      <v:textbox>
                        <w:txbxContent>
                          <w:p w:rsidR="00457305" w:rsidRPr="00B14F92" w:rsidRDefault="00457305" w:rsidP="004573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6" w:type="dxa"/>
            <w:gridSpan w:val="4"/>
          </w:tcPr>
          <w:p w:rsidR="00D35378" w:rsidRDefault="00D35378"/>
          <w:p w:rsidR="009057CF" w:rsidRDefault="009057CF"/>
        </w:tc>
      </w:tr>
      <w:tr w:rsidR="00457305" w:rsidRPr="00895841" w:rsidTr="00853B8D">
        <w:trPr>
          <w:cantSplit/>
          <w:trHeight w:val="100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457305" w:rsidRDefault="00853B8D" w:rsidP="00486002">
            <w:pPr>
              <w:ind w:left="115" w:right="115"/>
              <w:contextualSpacing/>
              <w:jc w:val="center"/>
              <w:rPr>
                <w:b/>
                <w:sz w:val="36"/>
                <w:szCs w:val="36"/>
              </w:rPr>
            </w:pPr>
            <w:r w:rsidRPr="00457305">
              <w:rPr>
                <w:b/>
                <w:sz w:val="32"/>
                <w:szCs w:val="32"/>
              </w:rPr>
              <w:t xml:space="preserve">Focus </w:t>
            </w:r>
            <w:r w:rsidR="00486002">
              <w:rPr>
                <w:b/>
                <w:sz w:val="32"/>
                <w:szCs w:val="32"/>
              </w:rPr>
              <w:t>&amp;</w:t>
            </w:r>
            <w:r w:rsidRPr="00457305">
              <w:rPr>
                <w:b/>
                <w:sz w:val="32"/>
                <w:szCs w:val="32"/>
              </w:rPr>
              <w:t xml:space="preserve"> Organization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D0246E" w:rsidRDefault="00457305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FF1351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States </w:t>
            </w:r>
            <w:r w:rsidRPr="004F09C8">
              <w:rPr>
                <w:rFonts w:ascii="Calibri" w:eastAsia="Calibri" w:hAnsi="Calibri" w:cs="Calibri"/>
                <w:color w:val="202020"/>
                <w:sz w:val="20"/>
              </w:rPr>
              <w:t>or</w:t>
            </w:r>
            <w:r w:rsidRPr="00FF1351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tells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a reader the topic or the name of a book they are writing about. (W.K.1)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57305" w:rsidRPr="00E22DE0" w:rsidRDefault="00457305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>
              <w:rPr>
                <w:rFonts w:eastAsia="Arial" w:cs="Arial"/>
                <w:color w:val="202020"/>
                <w:sz w:val="20"/>
                <w:szCs w:val="20"/>
              </w:rPr>
              <w:t>N/A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57305" w:rsidRPr="00E22DE0" w:rsidRDefault="00457305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>
              <w:rPr>
                <w:rFonts w:eastAsia="Arial" w:cs="Arial"/>
                <w:color w:val="202020"/>
                <w:sz w:val="20"/>
                <w:szCs w:val="20"/>
              </w:rPr>
              <w:t>N/A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457305" w:rsidRPr="00D0246E" w:rsidRDefault="00457305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state </w:t>
            </w:r>
            <w:r w:rsidR="00FF1351">
              <w:rPr>
                <w:rFonts w:ascii="Calibri" w:eastAsia="Calibri" w:hAnsi="Calibri" w:cs="Calibri"/>
                <w:color w:val="202020"/>
                <w:sz w:val="20"/>
              </w:rPr>
              <w:t xml:space="preserve">or tell a reader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the topic or the name of a book they are writing about. (W.K.1)</w:t>
            </w:r>
          </w:p>
        </w:tc>
      </w:tr>
      <w:tr w:rsidR="00457305" w:rsidRPr="00895841" w:rsidTr="00853B8D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895841" w:rsidRDefault="00457305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F1351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States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an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opinion or preference about a topic or book. (W.K.1)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57305" w:rsidRPr="00895841" w:rsidRDefault="00457305" w:rsidP="00140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  <w:p w:rsidR="00457305" w:rsidRPr="00895841" w:rsidRDefault="00457305" w:rsidP="0014068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895841" w:rsidRDefault="00457305" w:rsidP="00140686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  <w:p w:rsidR="00457305" w:rsidRPr="00895841" w:rsidRDefault="00457305" w:rsidP="0014068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D0246E" w:rsidRDefault="00457305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state an opinion or preference about a topic or book. (W.K.1)</w:t>
            </w:r>
          </w:p>
        </w:tc>
      </w:tr>
      <w:tr w:rsidR="00457305" w:rsidRPr="00895841" w:rsidTr="00853B8D">
        <w:trPr>
          <w:cantSplit/>
          <w:trHeight w:val="136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895841" w:rsidRDefault="00457305" w:rsidP="00457305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457305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Clearly </w:t>
            </w:r>
            <w:r w:rsidRPr="004F09C8">
              <w:rPr>
                <w:rFonts w:ascii="Calibri" w:eastAsia="Calibri" w:hAnsi="Calibri" w:cs="Calibri"/>
                <w:color w:val="202020"/>
                <w:sz w:val="20"/>
              </w:rPr>
              <w:t xml:space="preserve">and </w:t>
            </w:r>
            <w:r w:rsidRPr="00457305">
              <w:rPr>
                <w:rFonts w:ascii="Calibri" w:eastAsia="Calibri" w:hAnsi="Calibri" w:cs="Calibri"/>
                <w:b/>
                <w:color w:val="202020"/>
                <w:sz w:val="20"/>
              </w:rPr>
              <w:t>relevantly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uses a combination of drawings, dictations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and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writing to compose opinion pieces. (W.K.1)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57305" w:rsidRPr="00895841" w:rsidRDefault="00457305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270"/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Adequately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uses a combination of drawing, dictating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and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writing to compose opinion pieces. (W.K.1)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895841" w:rsidRDefault="00457305" w:rsidP="00457305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457305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Minimally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uses drawing, dictating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or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writing to compose opinion pieces. (W.K.1)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895841" w:rsidRDefault="00457305" w:rsidP="00140686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use drawing, dictating or writing. (W.K.1)</w:t>
            </w:r>
          </w:p>
        </w:tc>
      </w:tr>
      <w:tr w:rsidR="00457305" w:rsidRPr="00895841" w:rsidTr="00853B8D">
        <w:trPr>
          <w:cantSplit/>
          <w:trHeight w:val="863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305" w:rsidRPr="00895841" w:rsidRDefault="00457305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FF1351">
              <w:rPr>
                <w:rFonts w:ascii="Calibri" w:eastAsia="Calibri" w:hAnsi="Calibri" w:cs="Calibri"/>
                <w:b/>
                <w:color w:val="202020"/>
                <w:sz w:val="20"/>
              </w:rPr>
              <w:t>Expresses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thoughts, feelings, and ideas. (SL.K.6)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457305" w:rsidRPr="00895841" w:rsidRDefault="00457305" w:rsidP="00DA2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310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457305" w:rsidRPr="00895841" w:rsidRDefault="00457305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457305" w:rsidRPr="00895841" w:rsidRDefault="00457305" w:rsidP="00DA2535">
            <w:pPr>
              <w:pStyle w:val="ListParagraph"/>
              <w:numPr>
                <w:ilvl w:val="0"/>
                <w:numId w:val="1"/>
              </w:numPr>
              <w:rPr>
                <w:color w:val="202020"/>
                <w:sz w:val="20"/>
                <w:szCs w:val="20"/>
              </w:rPr>
            </w:pPr>
            <w:r w:rsidRPr="00DA2535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Does not </w:t>
            </w:r>
            <w:r w:rsidRPr="00DA2535">
              <w:rPr>
                <w:rFonts w:ascii="Calibri" w:eastAsia="Calibri" w:hAnsi="Calibri" w:cs="Calibri"/>
                <w:color w:val="202020"/>
                <w:sz w:val="20"/>
              </w:rPr>
              <w:t>express thoughts, feelings, and ideas. (SL.K.6)</w:t>
            </w:r>
          </w:p>
        </w:tc>
      </w:tr>
    </w:tbl>
    <w:p w:rsidR="00457305" w:rsidRDefault="00457305"/>
    <w:p w:rsidR="00457305" w:rsidRDefault="00457305"/>
    <w:p w:rsidR="00457305" w:rsidRDefault="00457305"/>
    <w:p w:rsidR="00457305" w:rsidRDefault="00457305">
      <w:r>
        <w:br w:type="page"/>
      </w: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457305" w:rsidRPr="00895841" w:rsidTr="00853B8D">
        <w:trPr>
          <w:cantSplit/>
          <w:trHeight w:val="1520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457305" w:rsidRDefault="00853B8D" w:rsidP="00486002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457305">
              <w:rPr>
                <w:b/>
                <w:sz w:val="32"/>
                <w:szCs w:val="32"/>
              </w:rPr>
              <w:lastRenderedPageBreak/>
              <w:t xml:space="preserve">Evidence </w:t>
            </w:r>
            <w:r w:rsidR="00486002">
              <w:rPr>
                <w:b/>
                <w:sz w:val="32"/>
                <w:szCs w:val="32"/>
              </w:rPr>
              <w:t>&amp;</w:t>
            </w:r>
            <w:r w:rsidRPr="00457305">
              <w:rPr>
                <w:b/>
                <w:sz w:val="32"/>
                <w:szCs w:val="32"/>
              </w:rPr>
              <w:t xml:space="preserve"> Elaboration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895841" w:rsidRDefault="00457305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sufficient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57305" w:rsidRPr="00895841" w:rsidRDefault="00457305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some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>With guidance and support from adults, adds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few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321" w:type="dxa"/>
            <w:tcBorders>
              <w:bottom w:val="dashed" w:sz="4" w:space="0" w:color="auto"/>
              <w:right w:val="single" w:sz="4" w:space="0" w:color="auto"/>
            </w:tcBorders>
          </w:tcPr>
          <w:p w:rsidR="00457305" w:rsidRPr="00D0246E" w:rsidRDefault="00457305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With guidance and support from adults,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does not</w:t>
            </w:r>
            <w:r>
              <w:rPr>
                <w:rFonts w:ascii="Calibri" w:eastAsia="Calibri" w:hAnsi="Calibri" w:cs="Calibri"/>
                <w:sz w:val="20"/>
              </w:rPr>
              <w:t xml:space="preserve"> add details to strengthen writing by responding to questions and suggestions from peers. (W.K.5)</w:t>
            </w:r>
          </w:p>
        </w:tc>
      </w:tr>
      <w:tr w:rsidR="00457305" w:rsidRPr="00895841" w:rsidTr="00853B8D">
        <w:trPr>
          <w:cantSplit/>
          <w:trHeight w:val="117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D0246E" w:rsidRDefault="00457305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4" w:hanging="274"/>
              <w:rPr>
                <w:color w:val="202020"/>
                <w:sz w:val="20"/>
                <w:szCs w:val="20"/>
              </w:rPr>
            </w:pPr>
            <w:r w:rsidRPr="00D0246E">
              <w:rPr>
                <w:rFonts w:ascii="Calibri" w:eastAsia="Calibri" w:hAnsi="Calibri" w:cs="Calibri"/>
                <w:sz w:val="20"/>
                <w:szCs w:val="20"/>
              </w:rPr>
              <w:t xml:space="preserve">With guidance and support from adults, </w:t>
            </w:r>
            <w:r w:rsidRPr="00FF1351">
              <w:rPr>
                <w:rFonts w:ascii="Calibri" w:eastAsia="Calibri" w:hAnsi="Calibri" w:cs="Calibri"/>
                <w:b/>
                <w:sz w:val="20"/>
                <w:szCs w:val="20"/>
              </w:rPr>
              <w:t>recalls</w:t>
            </w:r>
            <w:r w:rsidRPr="00D0246E">
              <w:rPr>
                <w:rFonts w:ascii="Calibri" w:eastAsia="Calibri" w:hAnsi="Calibri" w:cs="Calibri"/>
                <w:sz w:val="20"/>
                <w:szCs w:val="20"/>
              </w:rPr>
              <w:t xml:space="preserve"> information from experiences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N/A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7305" w:rsidRPr="00D0246E" w:rsidRDefault="00457305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does not </w:t>
            </w:r>
            <w:r>
              <w:rPr>
                <w:rFonts w:ascii="Calibri" w:eastAsia="Calibri" w:hAnsi="Calibri" w:cs="Calibri"/>
                <w:sz w:val="20"/>
              </w:rPr>
              <w:t xml:space="preserve">recall information from experiences to answer a question. (W.K.8) </w:t>
            </w:r>
          </w:p>
        </w:tc>
      </w:tr>
      <w:tr w:rsidR="00457305" w:rsidRPr="00895841" w:rsidTr="00853B8D">
        <w:trPr>
          <w:cantSplit/>
          <w:trHeight w:val="1142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895841" w:rsidRDefault="00457305" w:rsidP="00FF13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FF1351">
              <w:rPr>
                <w:rFonts w:ascii="Calibri" w:eastAsia="Calibri" w:hAnsi="Calibri" w:cs="Calibri"/>
                <w:b/>
                <w:sz w:val="20"/>
              </w:rPr>
              <w:t xml:space="preserve">Clearly </w:t>
            </w:r>
            <w:r>
              <w:rPr>
                <w:rFonts w:ascii="Calibri" w:eastAsia="Calibri" w:hAnsi="Calibri" w:cs="Calibri"/>
                <w:sz w:val="20"/>
              </w:rPr>
              <w:t>describes familiar people, places, things and events and, with prompting and support, provide details. (SL.K. 4)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457305" w:rsidRPr="00D0246E" w:rsidRDefault="00FF1351" w:rsidP="00FF13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FF1351">
              <w:rPr>
                <w:rFonts w:ascii="Calibri" w:eastAsia="Calibri" w:hAnsi="Calibri" w:cs="Calibri"/>
                <w:b/>
                <w:sz w:val="20"/>
              </w:rPr>
              <w:t xml:space="preserve">Adequately </w:t>
            </w:r>
            <w:r>
              <w:rPr>
                <w:rFonts w:ascii="Calibri" w:eastAsia="Calibri" w:hAnsi="Calibri" w:cs="Calibri"/>
                <w:sz w:val="20"/>
              </w:rPr>
              <w:t>d</w:t>
            </w:r>
            <w:r w:rsidR="00457305">
              <w:rPr>
                <w:rFonts w:ascii="Calibri" w:eastAsia="Calibri" w:hAnsi="Calibri" w:cs="Calibri"/>
                <w:sz w:val="20"/>
              </w:rPr>
              <w:t>escribes familiar people, places, things and events and, with prompting and support, provide details. (SL.K. 4)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457305" w:rsidRPr="00895841" w:rsidRDefault="00FF1351" w:rsidP="00FF13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FF1351">
              <w:rPr>
                <w:rFonts w:ascii="Calibri" w:eastAsia="Calibri" w:hAnsi="Calibri" w:cs="Calibri"/>
                <w:b/>
                <w:sz w:val="20"/>
              </w:rPr>
              <w:t xml:space="preserve">Minimally </w:t>
            </w:r>
            <w:r>
              <w:rPr>
                <w:rFonts w:ascii="Calibri" w:eastAsia="Calibri" w:hAnsi="Calibri" w:cs="Calibri"/>
                <w:sz w:val="20"/>
              </w:rPr>
              <w:t>d</w:t>
            </w:r>
            <w:r w:rsidR="00457305">
              <w:rPr>
                <w:rFonts w:ascii="Calibri" w:eastAsia="Calibri" w:hAnsi="Calibri" w:cs="Calibri"/>
                <w:sz w:val="20"/>
              </w:rPr>
              <w:t>escribes familiar people, places, things and events and, with prompting and support, provide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457305">
              <w:rPr>
                <w:rFonts w:ascii="Calibri" w:eastAsia="Calibri" w:hAnsi="Calibri" w:cs="Calibri"/>
                <w:sz w:val="20"/>
              </w:rPr>
              <w:t>details. (SL.K. 4)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7305" w:rsidRPr="00895841" w:rsidRDefault="00457305" w:rsidP="00D0246E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color w:val="202020"/>
                <w:sz w:val="20"/>
                <w:szCs w:val="20"/>
              </w:rPr>
            </w:pPr>
            <w:r w:rsidRPr="00D0246E">
              <w:rPr>
                <w:rFonts w:ascii="Calibri" w:eastAsia="Calibri" w:hAnsi="Calibri" w:cs="Calibri"/>
                <w:sz w:val="20"/>
              </w:rPr>
              <w:t xml:space="preserve">With prompting and support, </w:t>
            </w:r>
            <w:r w:rsidRPr="00D0246E">
              <w:rPr>
                <w:rFonts w:ascii="Calibri" w:eastAsia="Calibri" w:hAnsi="Calibri" w:cs="Calibri"/>
                <w:b/>
                <w:sz w:val="20"/>
              </w:rPr>
              <w:t>does not</w:t>
            </w:r>
            <w:r w:rsidRPr="00D0246E">
              <w:rPr>
                <w:rFonts w:ascii="Calibri" w:eastAsia="Calibri" w:hAnsi="Calibri" w:cs="Calibri"/>
                <w:sz w:val="20"/>
              </w:rPr>
              <w:t xml:space="preserve"> describe familiar people, places, things or events, or provide details. (SL.K. 4)</w:t>
            </w:r>
          </w:p>
        </w:tc>
      </w:tr>
      <w:tr w:rsidR="00457305" w:rsidRPr="00895841" w:rsidTr="00853B8D">
        <w:trPr>
          <w:cantSplit/>
          <w:trHeight w:val="81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effectively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somewhat </w:t>
            </w:r>
            <w:r>
              <w:rPr>
                <w:rFonts w:ascii="Calibri" w:eastAsia="Calibri" w:hAnsi="Calibri" w:cs="Calibri"/>
                <w:sz w:val="20"/>
              </w:rPr>
              <w:t>provide additional detail. (SL.K.5)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When added,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drawings or other visual displays </w:t>
            </w:r>
            <w:r>
              <w:rPr>
                <w:rFonts w:ascii="Calibri" w:eastAsia="Calibri" w:hAnsi="Calibri" w:cs="Calibri"/>
                <w:b/>
                <w:sz w:val="20"/>
              </w:rPr>
              <w:t>loosely</w:t>
            </w:r>
            <w:r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  <w:tc>
          <w:tcPr>
            <w:tcW w:w="3321" w:type="dxa"/>
            <w:tcBorders>
              <w:top w:val="dashed" w:sz="4" w:space="0" w:color="auto"/>
              <w:right w:val="single" w:sz="4" w:space="0" w:color="auto"/>
            </w:tcBorders>
          </w:tcPr>
          <w:p w:rsidR="00457305" w:rsidRPr="00895841" w:rsidRDefault="00457305" w:rsidP="00D0246E">
            <w:pPr>
              <w:pStyle w:val="ListParagraph"/>
              <w:numPr>
                <w:ilvl w:val="0"/>
                <w:numId w:val="4"/>
              </w:numPr>
              <w:rPr>
                <w:color w:val="202020"/>
                <w:sz w:val="20"/>
                <w:szCs w:val="20"/>
              </w:rPr>
            </w:pPr>
            <w:r w:rsidRPr="00D0246E">
              <w:rPr>
                <w:rFonts w:ascii="Calibri" w:eastAsia="Calibri" w:hAnsi="Calibri" w:cs="Calibri"/>
                <w:sz w:val="20"/>
              </w:rPr>
              <w:t xml:space="preserve">When added, drawings or other visual displays </w:t>
            </w:r>
            <w:r w:rsidRPr="00D0246E">
              <w:rPr>
                <w:rFonts w:ascii="Calibri" w:eastAsia="Calibri" w:hAnsi="Calibri" w:cs="Calibri"/>
                <w:b/>
                <w:sz w:val="20"/>
              </w:rPr>
              <w:t>do not</w:t>
            </w:r>
            <w:r w:rsidRPr="00D0246E">
              <w:rPr>
                <w:rFonts w:ascii="Calibri" w:eastAsia="Calibri" w:hAnsi="Calibri" w:cs="Calibri"/>
                <w:sz w:val="20"/>
              </w:rPr>
              <w:t xml:space="preserve"> provide additional detail. (SL.K.5)</w:t>
            </w:r>
          </w:p>
        </w:tc>
      </w:tr>
      <w:tr w:rsidR="00457305" w:rsidRPr="00895841" w:rsidTr="00853B8D">
        <w:trPr>
          <w:cantSplit/>
          <w:trHeight w:val="935"/>
        </w:trPr>
        <w:tc>
          <w:tcPr>
            <w:tcW w:w="864" w:type="dxa"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853B8D" w:rsidP="00DA2535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895841">
              <w:rPr>
                <w:b/>
                <w:sz w:val="24"/>
                <w:szCs w:val="24"/>
              </w:rPr>
              <w:t>S</w:t>
            </w:r>
            <w:r w:rsidRPr="00457305">
              <w:rPr>
                <w:b/>
                <w:sz w:val="28"/>
                <w:szCs w:val="28"/>
              </w:rPr>
              <w:t>tyle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305" w:rsidRDefault="00457305" w:rsidP="00DA2535">
            <w:pPr>
              <w:numPr>
                <w:ilvl w:val="0"/>
                <w:numId w:val="12"/>
              </w:numPr>
              <w:spacing w:after="200" w:line="276" w:lineRule="auto"/>
              <w:ind w:left="266" w:hanging="269"/>
              <w:contextualSpacing/>
              <w:rPr>
                <w:sz w:val="20"/>
              </w:rPr>
            </w:pPr>
            <w:r w:rsidRPr="00FF1351">
              <w:rPr>
                <w:rFonts w:ascii="Calibri" w:eastAsia="Calibri" w:hAnsi="Calibri" w:cs="Calibri"/>
                <w:b/>
                <w:sz w:val="20"/>
              </w:rPr>
              <w:t>Uses</w:t>
            </w:r>
            <w:r>
              <w:rPr>
                <w:rFonts w:ascii="Calibri" w:eastAsia="Calibri" w:hAnsi="Calibri" w:cs="Calibri"/>
                <w:sz w:val="20"/>
              </w:rPr>
              <w:t xml:space="preserve"> words and phrases acquired through conversations, reading and being read to. (L.K.6)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57305" w:rsidRDefault="00457305" w:rsidP="00DA2535">
            <w:pPr>
              <w:numPr>
                <w:ilvl w:val="0"/>
                <w:numId w:val="12"/>
              </w:numPr>
              <w:spacing w:after="200" w:line="276" w:lineRule="auto"/>
              <w:ind w:left="310" w:hanging="31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N/A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57305" w:rsidRDefault="00457305" w:rsidP="00DA2535">
            <w:pPr>
              <w:pStyle w:val="ListParagraph"/>
              <w:numPr>
                <w:ilvl w:val="0"/>
                <w:numId w:val="11"/>
              </w:numPr>
              <w:ind w:left="265" w:hanging="265"/>
            </w:pPr>
            <w:r w:rsidRPr="00DA2535">
              <w:rPr>
                <w:rFonts w:ascii="Calibri" w:eastAsia="Calibri" w:hAnsi="Calibri" w:cs="Calibri"/>
                <w:sz w:val="20"/>
              </w:rPr>
              <w:t>N/A</w:t>
            </w:r>
          </w:p>
          <w:p w:rsidR="00457305" w:rsidRDefault="00457305" w:rsidP="00DA2535"/>
          <w:p w:rsidR="00457305" w:rsidRDefault="00457305" w:rsidP="00DA2535"/>
        </w:tc>
        <w:tc>
          <w:tcPr>
            <w:tcW w:w="3321" w:type="dxa"/>
            <w:tcBorders>
              <w:bottom w:val="dashed" w:sz="4" w:space="0" w:color="auto"/>
            </w:tcBorders>
          </w:tcPr>
          <w:p w:rsidR="00457305" w:rsidRDefault="00457305" w:rsidP="00DA2535">
            <w:pPr>
              <w:pStyle w:val="ListParagraph"/>
              <w:numPr>
                <w:ilvl w:val="0"/>
                <w:numId w:val="11"/>
              </w:numPr>
              <w:ind w:left="310" w:hanging="310"/>
            </w:pPr>
            <w:r w:rsidRPr="00DA2535">
              <w:rPr>
                <w:rFonts w:ascii="Calibri" w:eastAsia="Calibri" w:hAnsi="Calibri" w:cs="Calibri"/>
                <w:b/>
                <w:sz w:val="20"/>
              </w:rPr>
              <w:t>Does not</w:t>
            </w:r>
            <w:r w:rsidRPr="00DA2535">
              <w:rPr>
                <w:rFonts w:ascii="Calibri" w:eastAsia="Calibri" w:hAnsi="Calibri" w:cs="Calibri"/>
                <w:sz w:val="20"/>
              </w:rPr>
              <w:t xml:space="preserve"> use words and phrases acquired through conversations, reading and being read to. (L.K.6)</w:t>
            </w:r>
          </w:p>
        </w:tc>
      </w:tr>
      <w:tr w:rsidR="00457305" w:rsidRPr="00895841" w:rsidTr="00853B8D">
        <w:trPr>
          <w:cantSplit/>
          <w:trHeight w:val="1475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457305" w:rsidRDefault="00853B8D" w:rsidP="0069528A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457305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57305" w:rsidRPr="00DA2535" w:rsidRDefault="00457305" w:rsidP="00DA2535">
            <w:pPr>
              <w:numPr>
                <w:ilvl w:val="0"/>
                <w:numId w:val="5"/>
              </w:numPr>
              <w:spacing w:after="200" w:line="276" w:lineRule="auto"/>
              <w:ind w:left="265" w:hanging="265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457305" w:rsidRPr="00895841" w:rsidRDefault="00457305" w:rsidP="00B33D2C">
            <w:pPr>
              <w:pStyle w:val="ListParagraph"/>
              <w:numPr>
                <w:ilvl w:val="0"/>
                <w:numId w:val="6"/>
              </w:num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B33D2C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3C5C92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weak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conventions of Standard English grammar when writing by using frequently occurring nouns, verbs and prepositions. (L.K.1b,e)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457305" w:rsidRPr="00DA2535" w:rsidRDefault="00457305" w:rsidP="00DA253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</w:tr>
      <w:tr w:rsidR="00457305" w:rsidRPr="00895841" w:rsidTr="00853B8D">
        <w:trPr>
          <w:cantSplit/>
          <w:trHeight w:val="162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457305" w:rsidRPr="00895841" w:rsidRDefault="00457305" w:rsidP="001406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457305" w:rsidRPr="00895841" w:rsidRDefault="00457305" w:rsidP="00B33D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B33D2C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adequate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Demonstrates</w:t>
            </w:r>
            <w:r w:rsidR="003C5C92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 weak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321" w:type="dxa"/>
            <w:tcBorders>
              <w:top w:val="dashed" w:sz="4" w:space="0" w:color="auto"/>
            </w:tcBorders>
          </w:tcPr>
          <w:p w:rsidR="00457305" w:rsidRPr="00895841" w:rsidRDefault="00457305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</w:tr>
    </w:tbl>
    <w:p w:rsidR="009464AB" w:rsidRPr="00895841" w:rsidRDefault="009464AB"/>
    <w:sectPr w:rsidR="009464AB" w:rsidRPr="00895841" w:rsidSect="00457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331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F" w:rsidRDefault="008D7BEF" w:rsidP="00D35378">
      <w:pPr>
        <w:spacing w:after="0" w:line="240" w:lineRule="auto"/>
      </w:pPr>
      <w:r>
        <w:separator/>
      </w:r>
    </w:p>
  </w:endnote>
  <w:endnote w:type="continuationSeparator" w:id="0">
    <w:p w:rsidR="008D7BEF" w:rsidRDefault="008D7BEF" w:rsidP="00D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0A" w:rsidRDefault="003F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0A" w:rsidRDefault="003F5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0A" w:rsidRDefault="003F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F" w:rsidRDefault="008D7BEF" w:rsidP="00D35378">
      <w:pPr>
        <w:spacing w:after="0" w:line="240" w:lineRule="auto"/>
      </w:pPr>
      <w:r>
        <w:separator/>
      </w:r>
    </w:p>
  </w:footnote>
  <w:footnote w:type="continuationSeparator" w:id="0">
    <w:p w:rsidR="008D7BEF" w:rsidRDefault="008D7BEF" w:rsidP="00D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0A" w:rsidRDefault="003F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05" w:rsidRDefault="00457305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</w:p>
  <w:p w:rsidR="00457305" w:rsidRDefault="003F510A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 w:rsidR="00853B8D">
      <w:rPr>
        <w:rFonts w:ascii="Candara" w:hAnsi="Candara"/>
        <w:sz w:val="32"/>
        <w:szCs w:val="32"/>
        <w:u w:val="single"/>
      </w:rPr>
      <w:t>Writing Continuum</w:t>
    </w:r>
    <w:r w:rsidR="00457305">
      <w:rPr>
        <w:rFonts w:ascii="Candara" w:hAnsi="Candara"/>
        <w:sz w:val="32"/>
        <w:szCs w:val="32"/>
        <w:u w:val="single"/>
      </w:rPr>
      <w:t xml:space="preserve"> (Kindergarten</w:t>
    </w:r>
    <w:r w:rsidR="00457305" w:rsidRPr="001715DB">
      <w:rPr>
        <w:rFonts w:ascii="Candara" w:hAnsi="Candara"/>
        <w:sz w:val="32"/>
        <w:szCs w:val="32"/>
        <w:u w:val="single"/>
      </w:rPr>
      <w:t>)</w:t>
    </w:r>
    <w:r w:rsidR="00457305">
      <w:rPr>
        <w:rFonts w:ascii="Candara" w:hAnsi="Candara"/>
        <w:sz w:val="32"/>
        <w:szCs w:val="32"/>
        <w:u w:val="single"/>
      </w:rPr>
      <w:t xml:space="preserve"> Argument</w:t>
    </w:r>
  </w:p>
  <w:p w:rsidR="00457305" w:rsidRDefault="004573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-394335</wp:posOffset>
          </wp:positionH>
          <wp:positionV relativeFrom="page">
            <wp:posOffset>507365</wp:posOffset>
          </wp:positionV>
          <wp:extent cx="2273935" cy="542925"/>
          <wp:effectExtent l="0" t="0" r="0" b="9525"/>
          <wp:wrapNone/>
          <wp:docPr id="1" name="Picture 1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0A" w:rsidRDefault="003F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B1"/>
    <w:multiLevelType w:val="multilevel"/>
    <w:tmpl w:val="6DF2521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74A3"/>
    <w:multiLevelType w:val="hybridMultilevel"/>
    <w:tmpl w:val="B86CA2EA"/>
    <w:lvl w:ilvl="0" w:tplc="56542944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19154FA"/>
    <w:multiLevelType w:val="hybridMultilevel"/>
    <w:tmpl w:val="DCA8DD34"/>
    <w:lvl w:ilvl="0" w:tplc="8EAAA34E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767"/>
    <w:multiLevelType w:val="hybridMultilevel"/>
    <w:tmpl w:val="31A61A62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4CB030AE"/>
    <w:multiLevelType w:val="hybridMultilevel"/>
    <w:tmpl w:val="865637BE"/>
    <w:lvl w:ilvl="0" w:tplc="F79806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30A"/>
    <w:multiLevelType w:val="multilevel"/>
    <w:tmpl w:val="526C80AE"/>
    <w:lvl w:ilvl="0">
      <w:start w:val="1"/>
      <w:numFmt w:val="bullet"/>
      <w:lvlText w:val=""/>
      <w:lvlJc w:val="left"/>
      <w:pPr>
        <w:ind w:left="450" w:firstLine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F42BC4"/>
    <w:multiLevelType w:val="hybridMultilevel"/>
    <w:tmpl w:val="5DCE30DA"/>
    <w:lvl w:ilvl="0" w:tplc="F9F0F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7C00"/>
    <w:multiLevelType w:val="multilevel"/>
    <w:tmpl w:val="917240D6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39B04BF"/>
    <w:multiLevelType w:val="hybridMultilevel"/>
    <w:tmpl w:val="162615CA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454"/>
    <w:multiLevelType w:val="hybridMultilevel"/>
    <w:tmpl w:val="C2A4AA0E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800C9"/>
    <w:multiLevelType w:val="hybridMultilevel"/>
    <w:tmpl w:val="155E245E"/>
    <w:lvl w:ilvl="0" w:tplc="56542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4D9F"/>
    <w:multiLevelType w:val="multilevel"/>
    <w:tmpl w:val="C7BE63DA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8"/>
    <w:rsid w:val="00013451"/>
    <w:rsid w:val="00086AAA"/>
    <w:rsid w:val="000A1D6B"/>
    <w:rsid w:val="000C405B"/>
    <w:rsid w:val="00140686"/>
    <w:rsid w:val="00232C3B"/>
    <w:rsid w:val="0024009C"/>
    <w:rsid w:val="002A4C97"/>
    <w:rsid w:val="002A52B0"/>
    <w:rsid w:val="003A00E0"/>
    <w:rsid w:val="003C5C92"/>
    <w:rsid w:val="003D0D94"/>
    <w:rsid w:val="003F510A"/>
    <w:rsid w:val="00412ECB"/>
    <w:rsid w:val="0043672B"/>
    <w:rsid w:val="00457305"/>
    <w:rsid w:val="00486002"/>
    <w:rsid w:val="004F09C8"/>
    <w:rsid w:val="00503B5E"/>
    <w:rsid w:val="00532434"/>
    <w:rsid w:val="005D58EF"/>
    <w:rsid w:val="005F4F24"/>
    <w:rsid w:val="006241EA"/>
    <w:rsid w:val="00624246"/>
    <w:rsid w:val="0069528A"/>
    <w:rsid w:val="00721D7A"/>
    <w:rsid w:val="00737617"/>
    <w:rsid w:val="00853B8D"/>
    <w:rsid w:val="0086089F"/>
    <w:rsid w:val="008925C4"/>
    <w:rsid w:val="00895841"/>
    <w:rsid w:val="008D7BEF"/>
    <w:rsid w:val="009057CF"/>
    <w:rsid w:val="009464AB"/>
    <w:rsid w:val="00A26060"/>
    <w:rsid w:val="00A472F4"/>
    <w:rsid w:val="00A57041"/>
    <w:rsid w:val="00B33D2C"/>
    <w:rsid w:val="00BF49B1"/>
    <w:rsid w:val="00D0246E"/>
    <w:rsid w:val="00D212C7"/>
    <w:rsid w:val="00D35378"/>
    <w:rsid w:val="00D85069"/>
    <w:rsid w:val="00DA2535"/>
    <w:rsid w:val="00DC6D20"/>
    <w:rsid w:val="00DF0061"/>
    <w:rsid w:val="00E22DE0"/>
    <w:rsid w:val="00E3158F"/>
    <w:rsid w:val="00FE2A2B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22E8A-CA3C-4ED1-8F67-5A1B5E7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8"/>
  </w:style>
  <w:style w:type="paragraph" w:styleId="Footer">
    <w:name w:val="footer"/>
    <w:basedOn w:val="Normal"/>
    <w:link w:val="Foot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78"/>
  </w:style>
  <w:style w:type="table" w:styleId="TableGrid">
    <w:name w:val="Table Grid"/>
    <w:basedOn w:val="TableNormal"/>
    <w:uiPriority w:val="59"/>
    <w:rsid w:val="00D3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Trudell</dc:creator>
  <cp:lastModifiedBy>bmurray4</cp:lastModifiedBy>
  <cp:revision>2</cp:revision>
  <cp:lastPrinted>2014-10-09T20:44:00Z</cp:lastPrinted>
  <dcterms:created xsi:type="dcterms:W3CDTF">2019-01-10T13:19:00Z</dcterms:created>
  <dcterms:modified xsi:type="dcterms:W3CDTF">2019-01-10T13:19:00Z</dcterms:modified>
</cp:coreProperties>
</file>