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D35378" w:rsidTr="00503B5E">
        <w:tc>
          <w:tcPr>
            <w:tcW w:w="864" w:type="dxa"/>
          </w:tcPr>
          <w:p w:rsidR="00D35378" w:rsidRPr="00086AAA" w:rsidRDefault="00CD165A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-211455</wp:posOffset>
                      </wp:positionV>
                      <wp:extent cx="9401175" cy="676275"/>
                      <wp:effectExtent l="0" t="0" r="28575" b="2857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01175" cy="676275"/>
                              </a:xfrm>
                              <a:prstGeom prst="lef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1C90" w:rsidRPr="00B14F92" w:rsidRDefault="00F61C90" w:rsidP="00F61C9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14F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THE RESPONSE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-13.55pt;margin-top:-16.65pt;width:740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" adj="777" fillcolor="#8aabd3 [2132]" strokecolor="#243f60 [1604]" strokeweight="2pt">
                      <v:fill color2="#d6e2f0 [756]" rotate="t" angle="90" colors="0 #9ab5e4;.5 #c2d1ed;1 #e1e8f5" focus="100%" type="gradient"/>
                      <v:path arrowok="t"/>
                      <v:textbox>
                        <w:txbxContent>
                          <w:p w:rsidR="00F61C90" w:rsidRPr="00B14F92" w:rsidRDefault="00F61C90" w:rsidP="00F61C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6" w:type="dxa"/>
            <w:gridSpan w:val="4"/>
          </w:tcPr>
          <w:p w:rsidR="00D35378" w:rsidRDefault="00D35378"/>
          <w:p w:rsidR="009057CF" w:rsidRDefault="009057CF"/>
        </w:tc>
      </w:tr>
      <w:tr w:rsidR="00F61C90" w:rsidRPr="00895841" w:rsidTr="00783A0A">
        <w:trPr>
          <w:cantSplit/>
          <w:trHeight w:val="91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F61C90" w:rsidRDefault="00783A0A" w:rsidP="00FB6011">
            <w:pPr>
              <w:ind w:left="115" w:right="115"/>
              <w:contextualSpacing/>
              <w:jc w:val="center"/>
              <w:rPr>
                <w:b/>
                <w:sz w:val="32"/>
                <w:szCs w:val="32"/>
              </w:rPr>
            </w:pPr>
            <w:r w:rsidRPr="00F61C90">
              <w:rPr>
                <w:b/>
                <w:sz w:val="32"/>
                <w:szCs w:val="32"/>
              </w:rPr>
              <w:t xml:space="preserve">Focus </w:t>
            </w:r>
            <w:r w:rsidR="00FB6011">
              <w:rPr>
                <w:b/>
                <w:sz w:val="32"/>
                <w:szCs w:val="32"/>
              </w:rPr>
              <w:t xml:space="preserve">&amp; </w:t>
            </w:r>
            <w:r w:rsidRPr="00F61C90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49773B" w:rsidRDefault="00F61C90" w:rsidP="004977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 combination of </w:t>
            </w:r>
            <w:r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clear </w:t>
            </w:r>
            <w:r w:rsidRPr="00941251">
              <w:rPr>
                <w:rFonts w:eastAsia="Calibri" w:cs="Calibri"/>
                <w:color w:val="202020"/>
                <w:sz w:val="20"/>
                <w:szCs w:val="20"/>
              </w:rPr>
              <w:t xml:space="preserve">&amp;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relevant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drawings, dictations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F61C90" w:rsidRPr="00E22DE0" w:rsidRDefault="00F61C9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Uses an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combination of drawing, dictating 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and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F61C90" w:rsidRPr="00E22DE0" w:rsidRDefault="00F61C90" w:rsidP="00E22DE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Uses drawing, dictating</w:t>
            </w: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 xml:space="preserve"> or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writing. (W.K.2)</w:t>
            </w:r>
            <w:r w:rsidRPr="00457305">
              <w:rPr>
                <w:rFonts w:eastAsia="Arial" w:cs="Arial"/>
                <w:noProof/>
                <w:color w:val="20202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bottom w:val="dashed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use drawing, dictating or writing. (W.K.2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)</w:t>
            </w:r>
          </w:p>
        </w:tc>
      </w:tr>
      <w:tr w:rsidR="00F61C90" w:rsidRPr="00895841" w:rsidTr="00783A0A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591725" w:rsidRDefault="00F61C90" w:rsidP="0059172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Clearly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49773B" w:rsidRDefault="00F61C9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Adequately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(W.K.3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>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49773B" w:rsidRDefault="00F61C90" w:rsidP="0049773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Minimally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narrates a single event or several loosely linked events. 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narrate a single event or several loosely linked events. (W.K.3)</w:t>
            </w:r>
          </w:p>
        </w:tc>
      </w:tr>
      <w:tr w:rsidR="00F61C90" w:rsidRPr="00895841" w:rsidTr="00783A0A">
        <w:trPr>
          <w:cantSplit/>
          <w:trHeight w:val="980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Tells about the events in a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clear </w:t>
            </w:r>
            <w:r>
              <w:rPr>
                <w:rFonts w:ascii="Calibri" w:eastAsia="Calibri" w:hAnsi="Calibri" w:cs="Calibri"/>
                <w:sz w:val="20"/>
              </w:rPr>
              <w:t xml:space="preserve">sequential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order in which they occurred.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666A0E" w:rsidRDefault="00F61C90" w:rsidP="00F61C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>Tells about the events in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  <w:r w:rsidRPr="00C8594C">
              <w:rPr>
                <w:rFonts w:ascii="Calibri" w:eastAsia="Calibri" w:hAnsi="Calibri" w:cs="Calibri"/>
                <w:color w:val="202020"/>
                <w:sz w:val="20"/>
              </w:rPr>
              <w:t>a</w:t>
            </w:r>
            <w:r w:rsidR="000F2DCD" w:rsidRPr="00C8594C">
              <w:rPr>
                <w:rFonts w:ascii="Calibri" w:eastAsia="Calibri" w:hAnsi="Calibri" w:cs="Calibri"/>
                <w:color w:val="202020"/>
                <w:sz w:val="20"/>
              </w:rPr>
              <w:t>n</w:t>
            </w:r>
            <w:r w:rsidRPr="00C8594C">
              <w:rPr>
                <w:rFonts w:ascii="Calibri" w:eastAsia="Calibri" w:hAnsi="Calibri" w:cs="Calibri"/>
                <w:color w:val="20202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adequate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order in which they occurred. (W.K.3)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49773B" w:rsidRDefault="00F61C90" w:rsidP="0001283E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>Tells about the events in a</w:t>
            </w:r>
            <w:r w:rsidR="0001283E" w:rsidRP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vague</w:t>
            </w:r>
            <w:r w:rsidRP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order in which they occurred.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7059D2" w:rsidRDefault="00F61C90" w:rsidP="00D0246E">
            <w:pPr>
              <w:numPr>
                <w:ilvl w:val="0"/>
                <w:numId w:val="1"/>
              </w:numPr>
              <w:contextualSpacing/>
              <w:rPr>
                <w:rFonts w:eastAsia="Calibri" w:cs="Calibri"/>
                <w:b/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tell about the events in the order in which they occurred. (W.K.3)</w:t>
            </w:r>
          </w:p>
        </w:tc>
      </w:tr>
      <w:tr w:rsidR="00F61C90" w:rsidRPr="00895841" w:rsidTr="00783A0A">
        <w:trPr>
          <w:cantSplit/>
          <w:trHeight w:val="845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Default="00F61C90" w:rsidP="0059172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  <w:color w:val="202020"/>
                <w:sz w:val="20"/>
              </w:rPr>
            </w:pPr>
            <w:r w:rsidRPr="009F3573">
              <w:rPr>
                <w:rFonts w:ascii="Calibri" w:eastAsia="Calibri" w:hAnsi="Calibri" w:cs="Calibri"/>
                <w:color w:val="202020"/>
                <w:sz w:val="20"/>
              </w:rPr>
              <w:t>Pr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ovides a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clear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reaction to what happened. (W.K.3)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b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Provides an 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adequate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reaction to what happened. (W.K.3)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Provides a </w:t>
            </w:r>
            <w:r w:rsidR="0001283E"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vague 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>reaction to what happened. (W.K.3)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666A0E" w:rsidRDefault="00F61C90" w:rsidP="00666A0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202020"/>
                <w:sz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>Does not</w:t>
            </w:r>
            <w:r>
              <w:rPr>
                <w:rFonts w:ascii="Calibri" w:eastAsia="Calibri" w:hAnsi="Calibri" w:cs="Calibri"/>
                <w:color w:val="202020"/>
                <w:sz w:val="20"/>
              </w:rPr>
              <w:t xml:space="preserve"> provide a reaction to what happened. (W.K.3)</w:t>
            </w:r>
          </w:p>
        </w:tc>
      </w:tr>
      <w:tr w:rsidR="00F61C90" w:rsidRPr="00895841" w:rsidTr="00783A0A">
        <w:trPr>
          <w:cantSplit/>
          <w:trHeight w:val="73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Clearly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(SL.K.6)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895841" w:rsidRDefault="00F61C90" w:rsidP="00DA2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Adequately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expresses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(SLK.6)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01283E" w:rsidP="009057CF">
            <w:pPr>
              <w:pStyle w:val="ListParagraph"/>
              <w:numPr>
                <w:ilvl w:val="0"/>
                <w:numId w:val="1"/>
              </w:numPr>
              <w:tabs>
                <w:tab w:val="num" w:pos="1098"/>
              </w:tabs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Minimally </w:t>
            </w:r>
            <w:r w:rsidR="00F61C90" w:rsidRPr="007059D2">
              <w:rPr>
                <w:rFonts w:eastAsia="Calibri" w:cs="Calibri"/>
                <w:color w:val="202020"/>
                <w:sz w:val="20"/>
                <w:szCs w:val="20"/>
              </w:rPr>
              <w:t>expresses thoughts</w:t>
            </w:r>
            <w:r w:rsidR="00F61C90"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="00F61C90"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(SLK.6)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F61C90" w:rsidP="00DA2535">
            <w:pPr>
              <w:pStyle w:val="ListParagraph"/>
              <w:numPr>
                <w:ilvl w:val="0"/>
                <w:numId w:val="1"/>
              </w:numPr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color w:val="202020"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express thoughts</w:t>
            </w:r>
            <w:r>
              <w:rPr>
                <w:rFonts w:eastAsia="Calibri" w:cs="Calibri"/>
                <w:color w:val="202020"/>
                <w:sz w:val="20"/>
                <w:szCs w:val="20"/>
              </w:rPr>
              <w:t>, feelings,</w:t>
            </w:r>
            <w:r w:rsidRPr="007059D2">
              <w:rPr>
                <w:rFonts w:eastAsia="Calibri" w:cs="Calibri"/>
                <w:color w:val="202020"/>
                <w:sz w:val="20"/>
                <w:szCs w:val="20"/>
              </w:rPr>
              <w:t xml:space="preserve"> and ideas. (SL.K.6)</w:t>
            </w:r>
          </w:p>
        </w:tc>
      </w:tr>
    </w:tbl>
    <w:p w:rsidR="00F61C90" w:rsidRDefault="00F61C90">
      <w:r>
        <w:br w:type="page"/>
      </w: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64"/>
        <w:gridCol w:w="3465"/>
        <w:gridCol w:w="3465"/>
        <w:gridCol w:w="3465"/>
        <w:gridCol w:w="3321"/>
      </w:tblGrid>
      <w:tr w:rsidR="00F61C90" w:rsidRPr="00895841" w:rsidTr="00783A0A">
        <w:trPr>
          <w:cantSplit/>
          <w:trHeight w:val="1547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FB6011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lastRenderedPageBreak/>
              <w:t xml:space="preserve">Evidence </w:t>
            </w:r>
            <w:r w:rsidR="00FB6011">
              <w:rPr>
                <w:b/>
                <w:sz w:val="32"/>
                <w:szCs w:val="32"/>
              </w:rPr>
              <w:t>&amp;</w:t>
            </w:r>
            <w:r w:rsidRPr="00F61C90">
              <w:rPr>
                <w:b/>
                <w:sz w:val="32"/>
                <w:szCs w:val="32"/>
              </w:rPr>
              <w:t xml:space="preserve"> Elaboration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895841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sufficient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left w:val="single" w:sz="24" w:space="0" w:color="auto"/>
              <w:bottom w:val="dashed" w:sz="4" w:space="0" w:color="auto"/>
            </w:tcBorders>
          </w:tcPr>
          <w:p w:rsidR="00F61C90" w:rsidRPr="00895841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 xml:space="preserve">With guidance and support from adults, adds </w:t>
            </w:r>
            <w:r>
              <w:rPr>
                <w:rFonts w:ascii="Calibri" w:eastAsia="Calibri" w:hAnsi="Calibri" w:cs="Calibri"/>
                <w:b/>
                <w:sz w:val="20"/>
              </w:rPr>
              <w:t>some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465" w:type="dxa"/>
            <w:tcBorders>
              <w:bottom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</w:pPr>
            <w:r>
              <w:rPr>
                <w:rFonts w:ascii="Calibri" w:eastAsia="Calibri" w:hAnsi="Calibri" w:cs="Calibri"/>
                <w:sz w:val="20"/>
              </w:rPr>
              <w:t>With guidance and support from adults, adds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few</w:t>
            </w:r>
            <w:r>
              <w:rPr>
                <w:rFonts w:ascii="Calibri" w:eastAsia="Calibri" w:hAnsi="Calibri" w:cs="Calibri"/>
                <w:sz w:val="20"/>
              </w:rPr>
              <w:t xml:space="preserve"> details to strengthen writing by responding to questions and suggestions from peers. (W.K.5)</w:t>
            </w:r>
          </w:p>
        </w:tc>
        <w:tc>
          <w:tcPr>
            <w:tcW w:w="3321" w:type="dxa"/>
            <w:tcBorders>
              <w:bottom w:val="dashed" w:sz="4" w:space="0" w:color="auto"/>
              <w:right w:val="single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With guidance and support from adults,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does not</w:t>
            </w:r>
            <w:r>
              <w:rPr>
                <w:rFonts w:ascii="Calibri" w:eastAsia="Calibri" w:hAnsi="Calibri" w:cs="Calibri"/>
                <w:sz w:val="20"/>
              </w:rPr>
              <w:t xml:space="preserve"> add details to strengthen writing by responding to questions and suggestions from peers. (W.K.5)</w:t>
            </w:r>
          </w:p>
        </w:tc>
      </w:tr>
      <w:tr w:rsidR="00F61C90" w:rsidRPr="00895841" w:rsidTr="00783A0A">
        <w:trPr>
          <w:cantSplit/>
          <w:trHeight w:val="117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D0246E" w:rsidRDefault="00F61C90" w:rsidP="00D024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74" w:hanging="274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sufficient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experiences or gather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BC5DE3" w:rsidRDefault="00F61C90" w:rsidP="00BC5DE3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eastAsia="Calibri" w:cs="Calibri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recalls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some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some information from provided sources to answer a question. (W.K.8)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2"/>
              </w:numPr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With guidance and support from adults, recalls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little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information from experience or gathers little information from provided sources to answer a question. (W.K.8)</w:t>
            </w:r>
          </w:p>
        </w:tc>
        <w:tc>
          <w:tcPr>
            <w:tcW w:w="33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61C90" w:rsidRPr="00D0246E" w:rsidRDefault="00F61C90" w:rsidP="00D0246E">
            <w:pPr>
              <w:numPr>
                <w:ilvl w:val="0"/>
                <w:numId w:val="2"/>
              </w:numPr>
              <w:spacing w:after="200" w:line="276" w:lineRule="auto"/>
              <w:ind w:left="310" w:hanging="310"/>
              <w:contextualSpacing/>
              <w:rPr>
                <w:rFonts w:ascii="Calibri" w:eastAsia="Calibri" w:hAnsi="Calibri" w:cs="Calibri"/>
                <w:sz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guidance and support from adults,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recall information or gather information from provided sources to answer a question. (W.K.8)</w:t>
            </w:r>
          </w:p>
        </w:tc>
      </w:tr>
      <w:tr w:rsidR="00F61C90" w:rsidRPr="00895841" w:rsidTr="00783A0A">
        <w:trPr>
          <w:cantSplit/>
          <w:trHeight w:val="1268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BC5DE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</w:t>
            </w:r>
            <w:r>
              <w:rPr>
                <w:rFonts w:eastAsia="Calibri" w:cs="Calibri"/>
                <w:sz w:val="20"/>
                <w:szCs w:val="20"/>
              </w:rPr>
              <w:t xml:space="preserve">es familiar people, places, </w:t>
            </w:r>
            <w:r w:rsidRPr="007059D2">
              <w:rPr>
                <w:rFonts w:eastAsia="Calibri" w:cs="Calibri"/>
                <w:sz w:val="20"/>
                <w:szCs w:val="20"/>
              </w:rPr>
              <w:t>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 xml:space="preserve"> clear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D0246E" w:rsidRDefault="00F61C90" w:rsidP="000128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Describes familiar people, places, 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1283E">
              <w:rPr>
                <w:rFonts w:eastAsia="Calibri" w:cs="Calibri"/>
                <w:b/>
                <w:sz w:val="20"/>
                <w:szCs w:val="20"/>
              </w:rPr>
              <w:t>adequate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(SL.K.4)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266" w:hanging="27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>Des</w:t>
            </w:r>
            <w:r>
              <w:rPr>
                <w:rFonts w:eastAsia="Calibri" w:cs="Calibri"/>
                <w:sz w:val="20"/>
                <w:szCs w:val="20"/>
              </w:rPr>
              <w:t xml:space="preserve">cribes familiar people, places, </w:t>
            </w:r>
            <w:r w:rsidRPr="007059D2">
              <w:rPr>
                <w:rFonts w:eastAsia="Calibri" w:cs="Calibri"/>
                <w:sz w:val="20"/>
                <w:szCs w:val="20"/>
              </w:rPr>
              <w:t>things</w:t>
            </w:r>
            <w:r>
              <w:rPr>
                <w:rFonts w:eastAsia="Calibri" w:cs="Calibri"/>
                <w:sz w:val="20"/>
                <w:szCs w:val="20"/>
              </w:rPr>
              <w:t>, and events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and, with prompting and support, provide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F2DCD">
              <w:rPr>
                <w:rFonts w:eastAsia="Calibri" w:cs="Calibri"/>
                <w:b/>
                <w:sz w:val="20"/>
                <w:szCs w:val="20"/>
              </w:rPr>
              <w:t>minimal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details. (SL.K. 4)</w:t>
            </w:r>
          </w:p>
        </w:tc>
        <w:tc>
          <w:tcPr>
            <w:tcW w:w="33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1C90" w:rsidRPr="00895841" w:rsidRDefault="00F61C90" w:rsidP="005B56E4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color w:val="202020"/>
                <w:sz w:val="20"/>
                <w:szCs w:val="20"/>
              </w:rPr>
            </w:pPr>
            <w:r w:rsidRPr="007059D2">
              <w:rPr>
                <w:rFonts w:eastAsia="Calibri" w:cs="Calibri"/>
                <w:sz w:val="20"/>
                <w:szCs w:val="20"/>
              </w:rPr>
              <w:t xml:space="preserve">With prompting and support, </w:t>
            </w:r>
            <w:r w:rsidRPr="007059D2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describe familiar people, places, things, </w:t>
            </w:r>
            <w:r>
              <w:rPr>
                <w:rFonts w:eastAsia="Calibri" w:cs="Calibri"/>
                <w:sz w:val="20"/>
                <w:szCs w:val="20"/>
              </w:rPr>
              <w:t xml:space="preserve">or events </w:t>
            </w:r>
            <w:r w:rsidRPr="007059D2">
              <w:rPr>
                <w:rFonts w:eastAsia="Calibri" w:cs="Calibri"/>
                <w:sz w:val="20"/>
                <w:szCs w:val="20"/>
              </w:rPr>
              <w:t>or provide details. (SL.K. 4)</w:t>
            </w:r>
          </w:p>
        </w:tc>
      </w:tr>
      <w:tr w:rsidR="00F61C90" w:rsidRPr="00895841" w:rsidTr="00783A0A">
        <w:trPr>
          <w:cantSplit/>
          <w:trHeight w:val="1007"/>
        </w:trPr>
        <w:tc>
          <w:tcPr>
            <w:tcW w:w="864" w:type="dxa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9865E8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t>Style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7059D2" w:rsidRDefault="00F61C90" w:rsidP="009865E8">
            <w:pPr>
              <w:numPr>
                <w:ilvl w:val="0"/>
                <w:numId w:val="14"/>
              </w:numPr>
              <w:spacing w:after="200" w:line="276" w:lineRule="auto"/>
              <w:ind w:left="266" w:hanging="269"/>
              <w:contextualSpacing/>
              <w:rPr>
                <w:sz w:val="20"/>
                <w:szCs w:val="20"/>
              </w:rPr>
            </w:pPr>
            <w:r w:rsidRPr="007059D2">
              <w:rPr>
                <w:rFonts w:eastAsia="Calibri" w:cs="Calibri"/>
                <w:b/>
                <w:sz w:val="20"/>
                <w:szCs w:val="20"/>
              </w:rPr>
              <w:t>Often</w:t>
            </w:r>
            <w:r w:rsidRPr="007059D2">
              <w:rPr>
                <w:rFonts w:eastAsia="Calibri" w:cs="Calibri"/>
                <w:sz w:val="20"/>
                <w:szCs w:val="20"/>
              </w:rPr>
              <w:t xml:space="preserve"> uses words and phrases acquired through conversations, reading and being read to. (L.K.6)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61C90" w:rsidRPr="007059D2" w:rsidRDefault="0001283E" w:rsidP="0001283E">
            <w:pPr>
              <w:numPr>
                <w:ilvl w:val="0"/>
                <w:numId w:val="14"/>
              </w:numPr>
              <w:spacing w:after="200" w:line="276" w:lineRule="auto"/>
              <w:ind w:left="310" w:hanging="310"/>
              <w:contextualSpacing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Occasionally </w:t>
            </w:r>
            <w:r w:rsidR="00F61C90" w:rsidRPr="007059D2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61C90" w:rsidRPr="009865E8" w:rsidRDefault="00F61C90" w:rsidP="009865E8">
            <w:pPr>
              <w:pStyle w:val="ListParagraph"/>
              <w:numPr>
                <w:ilvl w:val="0"/>
                <w:numId w:val="11"/>
              </w:numPr>
              <w:ind w:left="265" w:hanging="265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 xml:space="preserve">Rarely </w:t>
            </w:r>
            <w:r w:rsidRPr="009865E8">
              <w:rPr>
                <w:rFonts w:eastAsia="Calibri" w:cs="Calibri"/>
                <w:sz w:val="20"/>
                <w:szCs w:val="20"/>
              </w:rPr>
              <w:t>uses words and phrases acquired through conversations, reading and being read to. (L.K.6)</w:t>
            </w:r>
          </w:p>
          <w:p w:rsidR="00F61C90" w:rsidRPr="007059D2" w:rsidRDefault="00F61C90" w:rsidP="009865E8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61C90" w:rsidRPr="009865E8" w:rsidRDefault="00F61C90" w:rsidP="009865E8">
            <w:pPr>
              <w:pStyle w:val="ListParagraph"/>
              <w:numPr>
                <w:ilvl w:val="0"/>
                <w:numId w:val="11"/>
              </w:numPr>
              <w:ind w:left="310" w:hanging="310"/>
              <w:rPr>
                <w:sz w:val="20"/>
                <w:szCs w:val="20"/>
              </w:rPr>
            </w:pPr>
            <w:r w:rsidRPr="009865E8">
              <w:rPr>
                <w:rFonts w:eastAsia="Calibri" w:cs="Calibri"/>
                <w:b/>
                <w:sz w:val="20"/>
                <w:szCs w:val="20"/>
              </w:rPr>
              <w:t>Does not</w:t>
            </w:r>
            <w:r w:rsidRPr="009865E8">
              <w:rPr>
                <w:rFonts w:eastAsia="Calibri" w:cs="Calibri"/>
                <w:sz w:val="20"/>
                <w:szCs w:val="20"/>
              </w:rPr>
              <w:t xml:space="preserve"> use words and phrases acquired through conversations, reading and being read to. (L.K.6)</w:t>
            </w:r>
          </w:p>
        </w:tc>
      </w:tr>
      <w:tr w:rsidR="00F61C90" w:rsidRPr="00895841" w:rsidTr="00783A0A">
        <w:trPr>
          <w:cantSplit/>
          <w:trHeight w:val="1475"/>
        </w:trPr>
        <w:tc>
          <w:tcPr>
            <w:tcW w:w="864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783A0A" w:rsidP="0069528A">
            <w:pPr>
              <w:ind w:left="115" w:right="115"/>
              <w:contextualSpacing/>
              <w:jc w:val="center"/>
              <w:rPr>
                <w:b/>
                <w:sz w:val="24"/>
                <w:szCs w:val="24"/>
              </w:rPr>
            </w:pPr>
            <w:r w:rsidRPr="00F61C90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465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F61C90" w:rsidRPr="00DA2535" w:rsidRDefault="00F61C90" w:rsidP="00DA2535">
            <w:pPr>
              <w:numPr>
                <w:ilvl w:val="0"/>
                <w:numId w:val="5"/>
              </w:numPr>
              <w:spacing w:after="200" w:line="276" w:lineRule="auto"/>
              <w:ind w:left="265" w:hanging="265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>adequate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  <w:tc>
          <w:tcPr>
            <w:tcW w:w="3465" w:type="dxa"/>
            <w:tcBorders>
              <w:top w:val="single" w:sz="4" w:space="0" w:color="auto"/>
              <w:bottom w:val="dashed" w:sz="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weak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conventions of Standard English grammar when writing by using frequently occurring nouns, verbs and prepositions. (L.K.1b,e)</w:t>
            </w:r>
          </w:p>
        </w:tc>
        <w:tc>
          <w:tcPr>
            <w:tcW w:w="3321" w:type="dxa"/>
            <w:tcBorders>
              <w:top w:val="single" w:sz="4" w:space="0" w:color="auto"/>
              <w:bottom w:val="dashed" w:sz="4" w:space="0" w:color="auto"/>
            </w:tcBorders>
          </w:tcPr>
          <w:p w:rsidR="00F61C90" w:rsidRPr="00DA2535" w:rsidRDefault="00F61C90" w:rsidP="00DA253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202020"/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conventions of Standard English grammar when writing by using frequently occurring nouns, verbs and prepositions. (L.K.1b,e)</w:t>
            </w:r>
          </w:p>
        </w:tc>
      </w:tr>
      <w:tr w:rsidR="00F61C90" w:rsidRPr="00895841" w:rsidTr="00783A0A">
        <w:trPr>
          <w:cantSplit/>
          <w:trHeight w:val="1277"/>
        </w:trPr>
        <w:tc>
          <w:tcPr>
            <w:tcW w:w="864" w:type="dxa"/>
            <w:vMerge/>
            <w:tcBorders>
              <w:right w:val="single" w:sz="24" w:space="0" w:color="auto"/>
            </w:tcBorders>
            <w:textDirection w:val="btLr"/>
            <w:vAlign w:val="center"/>
          </w:tcPr>
          <w:p w:rsidR="00F61C90" w:rsidRPr="00895841" w:rsidRDefault="00F61C90" w:rsidP="001406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strong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  <w:left w:val="single" w:sz="24" w:space="0" w:color="auto"/>
            </w:tcBorders>
          </w:tcPr>
          <w:p w:rsidR="00F61C90" w:rsidRPr="00895841" w:rsidRDefault="00F61C90" w:rsidP="000F2DC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adequate 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command of the conventions of Standard English in capitalization, punctuation and spelling. (L.K.2a,c,d)</w:t>
            </w:r>
          </w:p>
        </w:tc>
        <w:tc>
          <w:tcPr>
            <w:tcW w:w="3465" w:type="dxa"/>
            <w:tcBorders>
              <w:top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>Demonstrates</w:t>
            </w:r>
            <w:r w:rsidR="000F2DCD">
              <w:rPr>
                <w:rFonts w:eastAsia="Arial" w:cs="Arial"/>
                <w:b/>
                <w:color w:val="202020"/>
                <w:sz w:val="20"/>
                <w:szCs w:val="20"/>
              </w:rPr>
              <w:t xml:space="preserve"> weak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  <w:tc>
          <w:tcPr>
            <w:tcW w:w="3321" w:type="dxa"/>
            <w:tcBorders>
              <w:top w:val="dashed" w:sz="4" w:space="0" w:color="auto"/>
            </w:tcBorders>
          </w:tcPr>
          <w:p w:rsidR="00F61C90" w:rsidRPr="00895841" w:rsidRDefault="00F61C90" w:rsidP="0001345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Demonstrates </w:t>
            </w:r>
            <w:r w:rsidRPr="00E833F9">
              <w:rPr>
                <w:rFonts w:eastAsia="Arial" w:cs="Arial"/>
                <w:b/>
                <w:color w:val="202020"/>
                <w:sz w:val="20"/>
                <w:szCs w:val="20"/>
              </w:rPr>
              <w:t>no</w:t>
            </w:r>
            <w:r w:rsidRPr="00E833F9">
              <w:rPr>
                <w:rFonts w:eastAsia="Arial" w:cs="Arial"/>
                <w:color w:val="202020"/>
                <w:sz w:val="20"/>
                <w:szCs w:val="20"/>
              </w:rPr>
              <w:t xml:space="preserve"> command of the conventions of Standard English in capitalization, punctuation and spelling. (L.K.2a,c,d)</w:t>
            </w:r>
          </w:p>
        </w:tc>
      </w:tr>
    </w:tbl>
    <w:p w:rsidR="009464AB" w:rsidRPr="00895841" w:rsidRDefault="009464AB"/>
    <w:sectPr w:rsidR="009464AB" w:rsidRPr="00895841" w:rsidSect="0001283E">
      <w:headerReference w:type="default" r:id="rId7"/>
      <w:pgSz w:w="15840" w:h="12240" w:orient="landscape" w:code="1"/>
      <w:pgMar w:top="720" w:right="720" w:bottom="346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9D" w:rsidRDefault="0086759D" w:rsidP="00D35378">
      <w:pPr>
        <w:spacing w:after="0" w:line="240" w:lineRule="auto"/>
      </w:pPr>
      <w:r>
        <w:separator/>
      </w:r>
    </w:p>
  </w:endnote>
  <w:endnote w:type="continuationSeparator" w:id="0">
    <w:p w:rsidR="0086759D" w:rsidRDefault="0086759D" w:rsidP="00D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9D" w:rsidRDefault="0086759D" w:rsidP="00D35378">
      <w:pPr>
        <w:spacing w:after="0" w:line="240" w:lineRule="auto"/>
      </w:pPr>
      <w:r>
        <w:separator/>
      </w:r>
    </w:p>
  </w:footnote>
  <w:footnote w:type="continuationSeparator" w:id="0">
    <w:p w:rsidR="0086759D" w:rsidRDefault="0086759D" w:rsidP="00D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0" w:rsidRDefault="00F61C90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</w:p>
  <w:p w:rsidR="00F61C90" w:rsidRDefault="00F61C90" w:rsidP="00D35378">
    <w:pPr>
      <w:pStyle w:val="Header"/>
      <w:tabs>
        <w:tab w:val="clear" w:pos="4680"/>
        <w:tab w:val="clear" w:pos="9360"/>
        <w:tab w:val="left" w:pos="3852"/>
      </w:tabs>
      <w:jc w:val="right"/>
      <w:rPr>
        <w:rFonts w:ascii="Candara" w:hAnsi="Candara"/>
        <w:sz w:val="32"/>
        <w:szCs w:val="32"/>
        <w:u w:val="single"/>
      </w:rPr>
    </w:pP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>
      <w:rPr>
        <w:rFonts w:ascii="Candara" w:hAnsi="Candara"/>
        <w:sz w:val="32"/>
        <w:szCs w:val="32"/>
        <w:u w:val="single"/>
      </w:rPr>
      <w:tab/>
    </w:r>
    <w:r w:rsidR="00783A0A">
      <w:rPr>
        <w:rFonts w:ascii="Candara" w:hAnsi="Candara"/>
        <w:sz w:val="32"/>
        <w:szCs w:val="32"/>
        <w:u w:val="single"/>
      </w:rPr>
      <w:t>Writing Continuum</w:t>
    </w:r>
    <w:r>
      <w:rPr>
        <w:rFonts w:ascii="Candara" w:hAnsi="Candara"/>
        <w:sz w:val="32"/>
        <w:szCs w:val="32"/>
        <w:u w:val="single"/>
      </w:rPr>
      <w:t xml:space="preserve"> (Kindergarten</w:t>
    </w:r>
    <w:r w:rsidRPr="001715DB">
      <w:rPr>
        <w:rFonts w:ascii="Candara" w:hAnsi="Candara"/>
        <w:sz w:val="32"/>
        <w:szCs w:val="32"/>
        <w:u w:val="single"/>
      </w:rPr>
      <w:t>)</w:t>
    </w:r>
    <w:r>
      <w:rPr>
        <w:rFonts w:ascii="Candara" w:hAnsi="Candara"/>
        <w:sz w:val="32"/>
        <w:szCs w:val="32"/>
        <w:u w:val="single"/>
      </w:rPr>
      <w:t xml:space="preserve"> Narrative</w:t>
    </w:r>
  </w:p>
  <w:p w:rsidR="00F61C90" w:rsidRDefault="00F61C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-394335</wp:posOffset>
          </wp:positionH>
          <wp:positionV relativeFrom="page">
            <wp:posOffset>507365</wp:posOffset>
          </wp:positionV>
          <wp:extent cx="2273935" cy="542925"/>
          <wp:effectExtent l="0" t="0" r="0" b="9525"/>
          <wp:wrapNone/>
          <wp:docPr id="1" name="Picture 1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B1"/>
    <w:multiLevelType w:val="multilevel"/>
    <w:tmpl w:val="6DF2521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B86"/>
    <w:multiLevelType w:val="multilevel"/>
    <w:tmpl w:val="9C503F28"/>
    <w:lvl w:ilvl="0">
      <w:start w:val="1"/>
      <w:numFmt w:val="bullet"/>
      <w:lvlText w:val="□"/>
      <w:lvlJc w:val="left"/>
      <w:pPr>
        <w:ind w:left="432" w:firstLine="1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0CD74A3"/>
    <w:multiLevelType w:val="hybridMultilevel"/>
    <w:tmpl w:val="CEA89E5C"/>
    <w:lvl w:ilvl="0" w:tplc="56542944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9154FA"/>
    <w:multiLevelType w:val="hybridMultilevel"/>
    <w:tmpl w:val="DCA8DD34"/>
    <w:lvl w:ilvl="0" w:tplc="8EAAA34E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B20"/>
    <w:multiLevelType w:val="multilevel"/>
    <w:tmpl w:val="15A84DB0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B217767"/>
    <w:multiLevelType w:val="hybridMultilevel"/>
    <w:tmpl w:val="31A61A62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CB030AE"/>
    <w:multiLevelType w:val="hybridMultilevel"/>
    <w:tmpl w:val="865637BE"/>
    <w:lvl w:ilvl="0" w:tplc="F79806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30A"/>
    <w:multiLevelType w:val="multilevel"/>
    <w:tmpl w:val="526C80AE"/>
    <w:lvl w:ilvl="0">
      <w:start w:val="1"/>
      <w:numFmt w:val="bullet"/>
      <w:lvlText w:val=""/>
      <w:lvlJc w:val="left"/>
      <w:pPr>
        <w:ind w:left="450" w:firstLine="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DF42BC4"/>
    <w:multiLevelType w:val="hybridMultilevel"/>
    <w:tmpl w:val="5DCE30DA"/>
    <w:lvl w:ilvl="0" w:tplc="F9F0F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C00"/>
    <w:multiLevelType w:val="multilevel"/>
    <w:tmpl w:val="917240D6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39B04BF"/>
    <w:multiLevelType w:val="hybridMultilevel"/>
    <w:tmpl w:val="162615CA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454"/>
    <w:multiLevelType w:val="hybridMultilevel"/>
    <w:tmpl w:val="C2A4AA0E"/>
    <w:lvl w:ilvl="0" w:tplc="7158A94E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3D59"/>
    <w:multiLevelType w:val="multilevel"/>
    <w:tmpl w:val="A5C851F8"/>
    <w:lvl w:ilvl="0">
      <w:start w:val="1"/>
      <w:numFmt w:val="bullet"/>
      <w:lvlText w:val="□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42800C9"/>
    <w:multiLevelType w:val="hybridMultilevel"/>
    <w:tmpl w:val="2F66B40E"/>
    <w:lvl w:ilvl="0" w:tplc="56542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4D9F"/>
    <w:multiLevelType w:val="multilevel"/>
    <w:tmpl w:val="C7BE63DA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93374FA"/>
    <w:multiLevelType w:val="multilevel"/>
    <w:tmpl w:val="20D6102C"/>
    <w:lvl w:ilvl="0">
      <w:start w:val="1"/>
      <w:numFmt w:val="bullet"/>
      <w:lvlText w:val=""/>
      <w:lvlJc w:val="left"/>
      <w:pPr>
        <w:ind w:left="540" w:firstLine="1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8"/>
    <w:rsid w:val="0001283E"/>
    <w:rsid w:val="00013451"/>
    <w:rsid w:val="00040A3E"/>
    <w:rsid w:val="00086AAA"/>
    <w:rsid w:val="000C405B"/>
    <w:rsid w:val="000F2DCD"/>
    <w:rsid w:val="000F31CA"/>
    <w:rsid w:val="00140686"/>
    <w:rsid w:val="00191BCB"/>
    <w:rsid w:val="00223DF8"/>
    <w:rsid w:val="00232C3B"/>
    <w:rsid w:val="002A4C97"/>
    <w:rsid w:val="00382412"/>
    <w:rsid w:val="003A00E0"/>
    <w:rsid w:val="003B496C"/>
    <w:rsid w:val="00412ECB"/>
    <w:rsid w:val="0049773B"/>
    <w:rsid w:val="00503B5E"/>
    <w:rsid w:val="00532434"/>
    <w:rsid w:val="0058557C"/>
    <w:rsid w:val="00591725"/>
    <w:rsid w:val="005B56E4"/>
    <w:rsid w:val="006241EA"/>
    <w:rsid w:val="00624246"/>
    <w:rsid w:val="00646B87"/>
    <w:rsid w:val="00666A0E"/>
    <w:rsid w:val="0069528A"/>
    <w:rsid w:val="006A73A5"/>
    <w:rsid w:val="00737617"/>
    <w:rsid w:val="00783A0A"/>
    <w:rsid w:val="007E2E65"/>
    <w:rsid w:val="00842BC9"/>
    <w:rsid w:val="0086089F"/>
    <w:rsid w:val="0086759D"/>
    <w:rsid w:val="00872BFE"/>
    <w:rsid w:val="00895841"/>
    <w:rsid w:val="009057CF"/>
    <w:rsid w:val="00941251"/>
    <w:rsid w:val="009464AB"/>
    <w:rsid w:val="0096726A"/>
    <w:rsid w:val="009865E8"/>
    <w:rsid w:val="00A26060"/>
    <w:rsid w:val="00B830AF"/>
    <w:rsid w:val="00BC5DE3"/>
    <w:rsid w:val="00BF49B1"/>
    <w:rsid w:val="00C8594C"/>
    <w:rsid w:val="00CD165A"/>
    <w:rsid w:val="00D0246E"/>
    <w:rsid w:val="00D212C7"/>
    <w:rsid w:val="00D35378"/>
    <w:rsid w:val="00D85069"/>
    <w:rsid w:val="00DA2535"/>
    <w:rsid w:val="00DF0061"/>
    <w:rsid w:val="00E22DE0"/>
    <w:rsid w:val="00E3158F"/>
    <w:rsid w:val="00EF51E7"/>
    <w:rsid w:val="00F10B4D"/>
    <w:rsid w:val="00F61C90"/>
    <w:rsid w:val="00FB0DC3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D3848-94AE-4418-B0A5-95603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8"/>
  </w:style>
  <w:style w:type="paragraph" w:styleId="Footer">
    <w:name w:val="footer"/>
    <w:basedOn w:val="Normal"/>
    <w:link w:val="FooterChar"/>
    <w:uiPriority w:val="99"/>
    <w:unhideWhenUsed/>
    <w:rsid w:val="00D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78"/>
  </w:style>
  <w:style w:type="table" w:styleId="TableGrid">
    <w:name w:val="Table Grid"/>
    <w:basedOn w:val="TableNormal"/>
    <w:uiPriority w:val="59"/>
    <w:rsid w:val="00D3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Trudell</dc:creator>
  <cp:lastModifiedBy>bmurray4</cp:lastModifiedBy>
  <cp:revision>2</cp:revision>
  <cp:lastPrinted>2014-10-23T20:34:00Z</cp:lastPrinted>
  <dcterms:created xsi:type="dcterms:W3CDTF">2019-01-10T13:18:00Z</dcterms:created>
  <dcterms:modified xsi:type="dcterms:W3CDTF">2019-01-10T13:18:00Z</dcterms:modified>
</cp:coreProperties>
</file>